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1EAD8" w14:textId="77777777" w:rsidR="00CF3266" w:rsidRPr="00717A53" w:rsidRDefault="00CF3266" w:rsidP="00CF3266">
      <w:pPr>
        <w:spacing w:after="0" w:line="240" w:lineRule="auto"/>
        <w:contextualSpacing/>
        <w:jc w:val="center"/>
        <w:rPr>
          <w:rFonts w:cstheme="minorHAnsi"/>
          <w:b/>
          <w:sz w:val="24"/>
          <w:szCs w:val="24"/>
        </w:rPr>
      </w:pPr>
      <w:r w:rsidRPr="00717A53">
        <w:rPr>
          <w:rFonts w:cstheme="minorHAnsi"/>
          <w:b/>
          <w:noProof/>
          <w:sz w:val="24"/>
          <w:szCs w:val="24"/>
        </w:rPr>
        <w:drawing>
          <wp:inline distT="0" distB="0" distL="0" distR="0" wp14:anchorId="504E7D5A" wp14:editId="6E2BBD5C">
            <wp:extent cx="2465837" cy="914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GH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5837" cy="914402"/>
                    </a:xfrm>
                    <a:prstGeom prst="rect">
                      <a:avLst/>
                    </a:prstGeom>
                  </pic:spPr>
                </pic:pic>
              </a:graphicData>
            </a:graphic>
          </wp:inline>
        </w:drawing>
      </w:r>
    </w:p>
    <w:p w14:paraId="079B4A7F" w14:textId="77777777" w:rsidR="00CF3266" w:rsidRPr="00717A53" w:rsidRDefault="00CF3266" w:rsidP="00CF3266">
      <w:pPr>
        <w:spacing w:after="0" w:line="240" w:lineRule="auto"/>
        <w:contextualSpacing/>
        <w:jc w:val="center"/>
        <w:rPr>
          <w:rFonts w:cstheme="minorHAnsi"/>
          <w:b/>
          <w:sz w:val="24"/>
          <w:szCs w:val="24"/>
        </w:rPr>
      </w:pPr>
    </w:p>
    <w:p w14:paraId="6B859E82" w14:textId="0211781A" w:rsidR="00CF3266" w:rsidRPr="00717A53" w:rsidRDefault="00C40746" w:rsidP="00CF3266">
      <w:pPr>
        <w:spacing w:after="0" w:line="240" w:lineRule="auto"/>
        <w:contextualSpacing/>
        <w:jc w:val="center"/>
        <w:rPr>
          <w:rFonts w:cstheme="minorHAnsi"/>
          <w:b/>
          <w:sz w:val="32"/>
          <w:szCs w:val="24"/>
        </w:rPr>
      </w:pPr>
      <w:r>
        <w:rPr>
          <w:rFonts w:cstheme="minorHAnsi"/>
          <w:b/>
          <w:sz w:val="32"/>
          <w:szCs w:val="24"/>
        </w:rPr>
        <w:t xml:space="preserve">2020-2021 </w:t>
      </w:r>
      <w:bookmarkStart w:id="0" w:name="_GoBack"/>
      <w:bookmarkEnd w:id="0"/>
      <w:r w:rsidR="00CF3266" w:rsidRPr="00717A53">
        <w:rPr>
          <w:rFonts w:cstheme="minorHAnsi"/>
          <w:b/>
          <w:sz w:val="32"/>
          <w:szCs w:val="24"/>
        </w:rPr>
        <w:t>Administrative Fellowship Program Information</w:t>
      </w:r>
    </w:p>
    <w:p w14:paraId="001EE029" w14:textId="77777777" w:rsidR="00CF3266" w:rsidRPr="00717A53" w:rsidRDefault="00CF3266" w:rsidP="00CF3266">
      <w:pPr>
        <w:spacing w:line="240" w:lineRule="auto"/>
        <w:contextualSpacing/>
        <w:rPr>
          <w:rFonts w:cstheme="minorHAnsi"/>
          <w:sz w:val="24"/>
          <w:szCs w:val="24"/>
        </w:rPr>
      </w:pPr>
    </w:p>
    <w:p w14:paraId="3B8A2CFB"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 xml:space="preserve">Tampa General Hospital is a private not-for-profit hospital and one of the most comprehensive medical facilities in West Central Florida serving a dozen counties with a population </w:t>
      </w:r>
      <w:proofErr w:type="gramStart"/>
      <w:r w:rsidRPr="00717A53">
        <w:rPr>
          <w:rFonts w:cstheme="minorHAnsi"/>
          <w:sz w:val="24"/>
          <w:szCs w:val="24"/>
          <w:shd w:val="clear" w:color="auto" w:fill="FFFFFF"/>
        </w:rPr>
        <w:t>in excess of</w:t>
      </w:r>
      <w:proofErr w:type="gramEnd"/>
      <w:r w:rsidRPr="00717A53">
        <w:rPr>
          <w:rFonts w:cstheme="minorHAnsi"/>
          <w:sz w:val="24"/>
          <w:szCs w:val="24"/>
          <w:shd w:val="clear" w:color="auto" w:fill="FFFFFF"/>
        </w:rPr>
        <w:t xml:space="preserve"> 4 million. As one of the largest hospitals in Florida, Tampa General is licensed for 1,007 beds, and with more than 8,000 employees, is one of the region’s largest employers.</w:t>
      </w:r>
    </w:p>
    <w:p w14:paraId="3EEC79D8"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110B2179"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 xml:space="preserve">At TGH, we believe growing and developing leaders is the key to building a pipeline for future administrative talent and leadership. The Tampa General Administrative Fellowship Program consists of a </w:t>
      </w:r>
      <w:proofErr w:type="spellStart"/>
      <w:r w:rsidRPr="00717A53">
        <w:rPr>
          <w:rFonts w:cstheme="minorHAnsi"/>
          <w:sz w:val="24"/>
          <w:szCs w:val="24"/>
          <w:shd w:val="clear" w:color="auto" w:fill="FFFFFF"/>
        </w:rPr>
        <w:t>year long</w:t>
      </w:r>
      <w:proofErr w:type="spellEnd"/>
      <w:r w:rsidRPr="00717A53">
        <w:rPr>
          <w:rFonts w:cstheme="minorHAnsi"/>
          <w:sz w:val="24"/>
          <w:szCs w:val="24"/>
          <w:shd w:val="clear" w:color="auto" w:fill="FFFFFF"/>
        </w:rPr>
        <w:t xml:space="preserve"> rotation through several administrative departments such as Operations, Strategy, Human Resources, Finance, etc. Individuals develop a comprehensive understanding of a complex health care organization with a strong vision to be the safest and most innovative academic health system in America. TGH has a rich teaching and training history in medicine, we aim to provide a world-class teaching experience for future administrative leaders as well.</w:t>
      </w:r>
    </w:p>
    <w:p w14:paraId="730FD5CD"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418A182D" w14:textId="77777777" w:rsidR="00CF3266" w:rsidRPr="00717A53" w:rsidRDefault="00CF3266" w:rsidP="00CF3266">
      <w:pPr>
        <w:tabs>
          <w:tab w:val="left" w:pos="922"/>
        </w:tabs>
        <w:spacing w:line="240" w:lineRule="auto"/>
        <w:contextualSpacing/>
        <w:rPr>
          <w:rFonts w:cstheme="minorHAnsi"/>
          <w:b/>
          <w:sz w:val="32"/>
          <w:szCs w:val="24"/>
          <w:u w:val="single"/>
          <w:shd w:val="clear" w:color="auto" w:fill="FFFFFF"/>
        </w:rPr>
      </w:pPr>
      <w:r w:rsidRPr="00717A53">
        <w:rPr>
          <w:rFonts w:cstheme="minorHAnsi"/>
          <w:b/>
          <w:sz w:val="32"/>
          <w:szCs w:val="24"/>
          <w:u w:val="single"/>
          <w:shd w:val="clear" w:color="auto" w:fill="FFFFFF"/>
        </w:rPr>
        <w:t>SECTION I: STRUCTURE</w:t>
      </w:r>
    </w:p>
    <w:p w14:paraId="69CE562E"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p>
    <w:p w14:paraId="2BCD08C4"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Advisors and Preceptor</w:t>
      </w:r>
    </w:p>
    <w:p w14:paraId="73D609D0"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 xml:space="preserve">Based upon areas of interest, fellows will be assigned a preceptor from one of the organization’s administrative functions. This preceptor will be responsible for engaging with the fellow throughout the program. Preceptors will do this through one-on-one meetings, mentorships, guidance, feedback on performance, and some project work during the one-year rotation. Donna Tope, MBA, MSHA, Director of Support Services and Tallee Williams, MBA, MSHA, Manager of Physician Wellness and Special Projects serve as the Administrative Fellowship Program advisors and will also work with the fellows throughout their one-year rotation. </w:t>
      </w:r>
    </w:p>
    <w:p w14:paraId="75435CC2"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344A6368"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Rotations</w:t>
      </w:r>
    </w:p>
    <w:p w14:paraId="24D45A09"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The Tampa General Administrative Fellowship Program can include rotations with:</w:t>
      </w:r>
    </w:p>
    <w:p w14:paraId="018EC92A"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President &amp; CEO</w:t>
      </w:r>
    </w:p>
    <w:p w14:paraId="5DC80515"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Executive VP &amp; Chief Information Officer</w:t>
      </w:r>
    </w:p>
    <w:p w14:paraId="5D77D2A4"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Executive VP &amp; Chief Strategy &amp; Marketing Officer</w:t>
      </w:r>
    </w:p>
    <w:p w14:paraId="58D8C4FA"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Executive VP &amp; Chief Operating Officer</w:t>
      </w:r>
    </w:p>
    <w:p w14:paraId="0F099E23" w14:textId="77777777" w:rsidR="00CF3266"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Senior VP &amp; Chief Nursing Officer</w:t>
      </w:r>
    </w:p>
    <w:p w14:paraId="7F046D18" w14:textId="77777777" w:rsidR="00CF3266" w:rsidRDefault="00CF3266" w:rsidP="00CF3266">
      <w:pPr>
        <w:tabs>
          <w:tab w:val="left" w:pos="922"/>
        </w:tabs>
        <w:spacing w:line="240" w:lineRule="auto"/>
        <w:ind w:left="360"/>
        <w:contextualSpacing/>
        <w:rPr>
          <w:rFonts w:cstheme="minorHAnsi"/>
          <w:sz w:val="24"/>
          <w:szCs w:val="24"/>
          <w:shd w:val="clear" w:color="auto" w:fill="FFFFFF"/>
        </w:rPr>
      </w:pPr>
    </w:p>
    <w:p w14:paraId="67DA1D63" w14:textId="77777777" w:rsidR="00CF3266" w:rsidRPr="00717A53" w:rsidRDefault="00CF3266" w:rsidP="00CF3266">
      <w:pPr>
        <w:tabs>
          <w:tab w:val="left" w:pos="922"/>
        </w:tabs>
        <w:spacing w:line="240" w:lineRule="auto"/>
        <w:ind w:left="360"/>
        <w:contextualSpacing/>
        <w:rPr>
          <w:rFonts w:cstheme="minorHAnsi"/>
          <w:sz w:val="24"/>
          <w:szCs w:val="24"/>
          <w:shd w:val="clear" w:color="auto" w:fill="FFFFFF"/>
        </w:rPr>
      </w:pPr>
    </w:p>
    <w:p w14:paraId="35A65FEB"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lastRenderedPageBreak/>
        <w:t>Evaluations</w:t>
      </w:r>
    </w:p>
    <w:p w14:paraId="4ABA8500"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Commitment and constant evaluation is crucial to ensuring success both during the fellowship and in future career endeavors. Half way through the program year and at year end, the fellow and their preceptor will complete a short evaluation of their time within the Administrative Fellowship. The intent of completing the evaluation is to constantly evolve and ensure a fulfilling and engaging experience during the entire fellowship.</w:t>
      </w:r>
    </w:p>
    <w:p w14:paraId="708D278A"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p>
    <w:p w14:paraId="7232D177" w14:textId="77777777" w:rsidR="00CF3266" w:rsidRPr="00717A53" w:rsidRDefault="00CF3266" w:rsidP="00CF3266">
      <w:pPr>
        <w:tabs>
          <w:tab w:val="left" w:pos="922"/>
        </w:tabs>
        <w:spacing w:line="240" w:lineRule="auto"/>
        <w:contextualSpacing/>
        <w:rPr>
          <w:rFonts w:cstheme="minorHAnsi"/>
          <w:b/>
          <w:sz w:val="32"/>
          <w:szCs w:val="24"/>
          <w:u w:val="single"/>
          <w:shd w:val="clear" w:color="auto" w:fill="FFFFFF"/>
        </w:rPr>
      </w:pPr>
      <w:r w:rsidRPr="00717A53">
        <w:rPr>
          <w:rFonts w:cstheme="minorHAnsi"/>
          <w:b/>
          <w:sz w:val="32"/>
          <w:szCs w:val="24"/>
          <w:u w:val="single"/>
          <w:shd w:val="clear" w:color="auto" w:fill="FFFFFF"/>
        </w:rPr>
        <w:t>SECTION II: RESPONSIBILITIES</w:t>
      </w:r>
    </w:p>
    <w:p w14:paraId="229AB7A5"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p>
    <w:p w14:paraId="248400B2"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Expectations</w:t>
      </w:r>
    </w:p>
    <w:p w14:paraId="771B78A3"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Each fellow is to complete two major projects along with at least five other smaller projects</w:t>
      </w:r>
    </w:p>
    <w:p w14:paraId="73F00C75"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throughout the year. These projects should be tracked in a fellowship plan developed by both the fellow and the preceptor.</w:t>
      </w:r>
    </w:p>
    <w:p w14:paraId="5B1ADF76"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30FB8E8E"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In addition to project work, all fellows are expected to follow a set of expectations that will allow for sufficient exposure and learning experiences. The expectations are as follows:</w:t>
      </w:r>
    </w:p>
    <w:p w14:paraId="3D98AB83"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Connect with and support other senior leaders within TGH</w:t>
      </w:r>
    </w:p>
    <w:p w14:paraId="24F896D6"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Perform rotations and shadowing with different departments</w:t>
      </w:r>
    </w:p>
    <w:p w14:paraId="6FBF45D6"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Gain exposure to various leadership styles, roles, and responsibilities within the organization</w:t>
      </w:r>
    </w:p>
    <w:p w14:paraId="17E7287E"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Learn about leaders’ backgrounds by building professional relationships</w:t>
      </w:r>
    </w:p>
    <w:p w14:paraId="1A092618"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Network with developing leaders both inside and outside of the organization</w:t>
      </w:r>
    </w:p>
    <w:p w14:paraId="6C0722A9"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Serve as ambassadors of TGH in the organization and in the community</w:t>
      </w:r>
    </w:p>
    <w:p w14:paraId="68C99338"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The fellows are expected to attend the following meetings:</w:t>
      </w:r>
    </w:p>
    <w:p w14:paraId="1821C5DB"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Two to three board meetings</w:t>
      </w:r>
    </w:p>
    <w:p w14:paraId="62B0155C"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Monthly Senior Management team meetings</w:t>
      </w:r>
    </w:p>
    <w:p w14:paraId="18304A1C"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Monthly Leadership Forum</w:t>
      </w:r>
    </w:p>
    <w:p w14:paraId="0F97C5ED"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One to two Birthday Breakfasts</w:t>
      </w:r>
    </w:p>
    <w:p w14:paraId="4C90DFF3"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Fellowship Plan</w:t>
      </w:r>
    </w:p>
    <w:p w14:paraId="6CEC58B9"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sz w:val="24"/>
          <w:szCs w:val="24"/>
          <w:shd w:val="clear" w:color="auto" w:fill="FFFFFF"/>
        </w:rPr>
        <w:t>To keep track of the projects a fellow will be working on and to set tangible goals for each fellow’s administrative fellowship, every fellow will be required to develop a fellowship plan. The fellowship plan will consist of:</w:t>
      </w:r>
    </w:p>
    <w:p w14:paraId="42149D2E"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Administrative fellowship purpose as defined by the fellow</w:t>
      </w:r>
    </w:p>
    <w:p w14:paraId="2BDEBDD0"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Meetings held or attended with senior leaders</w:t>
      </w:r>
    </w:p>
    <w:p w14:paraId="1B248EB6" w14:textId="77777777" w:rsidR="00CF3266" w:rsidRPr="00717A53"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Rotation timelines</w:t>
      </w:r>
    </w:p>
    <w:p w14:paraId="64838DCB" w14:textId="77777777" w:rsidR="00CF3266" w:rsidRDefault="00CF3266" w:rsidP="00CF3266">
      <w:pPr>
        <w:pStyle w:val="ListParagraph"/>
        <w:numPr>
          <w:ilvl w:val="0"/>
          <w:numId w:val="3"/>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Project dashboard</w:t>
      </w:r>
    </w:p>
    <w:p w14:paraId="25E38EFF"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25F195D8" w14:textId="77777777" w:rsidR="00CF3266" w:rsidRDefault="00CF3266" w:rsidP="00CF3266">
      <w:pPr>
        <w:tabs>
          <w:tab w:val="left" w:pos="922"/>
        </w:tabs>
        <w:spacing w:line="240" w:lineRule="auto"/>
        <w:contextualSpacing/>
        <w:rPr>
          <w:rFonts w:cstheme="minorHAnsi"/>
          <w:sz w:val="24"/>
          <w:szCs w:val="24"/>
          <w:shd w:val="clear" w:color="auto" w:fill="FFFFFF"/>
        </w:rPr>
      </w:pPr>
    </w:p>
    <w:p w14:paraId="400E44B4"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7E6E80EF" w14:textId="77777777" w:rsidR="00CF3266" w:rsidRPr="00717A53" w:rsidRDefault="00CF3266" w:rsidP="00CF3266">
      <w:pPr>
        <w:tabs>
          <w:tab w:val="left" w:pos="922"/>
        </w:tabs>
        <w:spacing w:line="240" w:lineRule="auto"/>
        <w:contextualSpacing/>
        <w:rPr>
          <w:rFonts w:cstheme="minorHAnsi"/>
          <w:b/>
          <w:sz w:val="32"/>
          <w:szCs w:val="24"/>
          <w:u w:val="single"/>
          <w:shd w:val="clear" w:color="auto" w:fill="FFFFFF"/>
        </w:rPr>
      </w:pPr>
      <w:r w:rsidRPr="00717A53">
        <w:rPr>
          <w:rFonts w:cstheme="minorHAnsi"/>
          <w:b/>
          <w:sz w:val="32"/>
          <w:szCs w:val="24"/>
          <w:u w:val="single"/>
          <w:shd w:val="clear" w:color="auto" w:fill="FFFFFF"/>
        </w:rPr>
        <w:lastRenderedPageBreak/>
        <w:t>SECTION III: APPLICATION REQUIREMENTS AND TIMELINE</w:t>
      </w:r>
    </w:p>
    <w:p w14:paraId="70553EF7"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p>
    <w:p w14:paraId="115D8A89"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Eligibility</w:t>
      </w:r>
    </w:p>
    <w:p w14:paraId="4C986689"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 xml:space="preserve">Eligible applicants must have completed the didactic portion of their MBA, MHA or MPH. Due to the nature of the Administrative Fellowship Program and the expectations when performing project work throughout the organization, TGH’s Administrative Fellowship Program is a </w:t>
      </w:r>
      <w:proofErr w:type="gramStart"/>
      <w:r w:rsidRPr="00717A53">
        <w:rPr>
          <w:rFonts w:cstheme="minorHAnsi"/>
          <w:sz w:val="24"/>
          <w:szCs w:val="24"/>
          <w:shd w:val="clear" w:color="auto" w:fill="FFFFFF"/>
        </w:rPr>
        <w:t>Master’s</w:t>
      </w:r>
      <w:proofErr w:type="gramEnd"/>
      <w:r w:rsidRPr="00717A53">
        <w:rPr>
          <w:rFonts w:cstheme="minorHAnsi"/>
          <w:sz w:val="24"/>
          <w:szCs w:val="24"/>
          <w:shd w:val="clear" w:color="auto" w:fill="FFFFFF"/>
        </w:rPr>
        <w:t xml:space="preserve"> level position.</w:t>
      </w:r>
    </w:p>
    <w:p w14:paraId="0DA27B87"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2D6990C8"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 xml:space="preserve">Requirements, to be submitted to </w:t>
      </w:r>
      <w:hyperlink r:id="rId6" w:history="1">
        <w:r w:rsidRPr="002A254B">
          <w:rPr>
            <w:rFonts w:cstheme="minorHAnsi"/>
            <w:b/>
            <w:sz w:val="24"/>
            <w:szCs w:val="24"/>
            <w:shd w:val="clear" w:color="auto" w:fill="FFFFFF"/>
          </w:rPr>
          <w:t>https://www.tgh.org/careers</w:t>
        </w:r>
      </w:hyperlink>
    </w:p>
    <w:p w14:paraId="45E41EF9" w14:textId="77777777" w:rsidR="00CF3266" w:rsidRPr="00717A53" w:rsidRDefault="00CF3266" w:rsidP="00CF3266">
      <w:pPr>
        <w:pStyle w:val="ListParagraph"/>
        <w:numPr>
          <w:ilvl w:val="0"/>
          <w:numId w:val="2"/>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Cover Letter</w:t>
      </w:r>
    </w:p>
    <w:p w14:paraId="5B8519E3" w14:textId="77777777" w:rsidR="00CF3266" w:rsidRPr="00717A53" w:rsidRDefault="00CF3266" w:rsidP="00CF3266">
      <w:pPr>
        <w:pStyle w:val="ListParagraph"/>
        <w:numPr>
          <w:ilvl w:val="0"/>
          <w:numId w:val="2"/>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Resume</w:t>
      </w:r>
    </w:p>
    <w:p w14:paraId="1C3EF4BB" w14:textId="77777777" w:rsidR="00CF3266" w:rsidRPr="00717A53" w:rsidRDefault="00CF3266" w:rsidP="00CF3266">
      <w:pPr>
        <w:pStyle w:val="ListParagraph"/>
        <w:numPr>
          <w:ilvl w:val="0"/>
          <w:numId w:val="2"/>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Graduate School Transcripts</w:t>
      </w:r>
    </w:p>
    <w:p w14:paraId="363F668D" w14:textId="77777777" w:rsidR="00CF3266" w:rsidRPr="00717A53" w:rsidRDefault="00CF3266" w:rsidP="00CF3266">
      <w:pPr>
        <w:pStyle w:val="ListParagraph"/>
        <w:numPr>
          <w:ilvl w:val="0"/>
          <w:numId w:val="2"/>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T</w:t>
      </w:r>
      <w:r>
        <w:rPr>
          <w:rFonts w:cstheme="minorHAnsi"/>
          <w:sz w:val="24"/>
          <w:szCs w:val="24"/>
          <w:shd w:val="clear" w:color="auto" w:fill="FFFFFF"/>
        </w:rPr>
        <w:t>wo (2</w:t>
      </w:r>
      <w:r w:rsidRPr="00717A53">
        <w:rPr>
          <w:rFonts w:cstheme="minorHAnsi"/>
          <w:sz w:val="24"/>
          <w:szCs w:val="24"/>
          <w:shd w:val="clear" w:color="auto" w:fill="FFFFFF"/>
        </w:rPr>
        <w:t>) Letters of Recommendation</w:t>
      </w:r>
    </w:p>
    <w:p w14:paraId="394E070A" w14:textId="77777777" w:rsidR="00CF3266" w:rsidRPr="00717A53" w:rsidRDefault="00CF3266" w:rsidP="00CF3266">
      <w:pPr>
        <w:pStyle w:val="ListParagraph"/>
        <w:numPr>
          <w:ilvl w:val="1"/>
          <w:numId w:val="2"/>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Academic</w:t>
      </w:r>
      <w:r>
        <w:rPr>
          <w:rFonts w:cstheme="minorHAnsi"/>
          <w:sz w:val="24"/>
          <w:szCs w:val="24"/>
          <w:shd w:val="clear" w:color="auto" w:fill="FFFFFF"/>
        </w:rPr>
        <w:t xml:space="preserve"> </w:t>
      </w:r>
      <w:r w:rsidRPr="00043B83">
        <w:rPr>
          <w:rFonts w:cstheme="minorHAnsi"/>
          <w:b/>
          <w:sz w:val="24"/>
          <w:szCs w:val="24"/>
          <w:shd w:val="clear" w:color="auto" w:fill="FFFFFF"/>
        </w:rPr>
        <w:t>OR</w:t>
      </w:r>
      <w:r>
        <w:rPr>
          <w:rFonts w:cstheme="minorHAnsi"/>
          <w:sz w:val="24"/>
          <w:szCs w:val="24"/>
          <w:shd w:val="clear" w:color="auto" w:fill="FFFFFF"/>
        </w:rPr>
        <w:t xml:space="preserve"> Program Director</w:t>
      </w:r>
    </w:p>
    <w:p w14:paraId="0170DFFB" w14:textId="77777777" w:rsidR="00CF3266" w:rsidRPr="00717A53" w:rsidRDefault="00CF3266" w:rsidP="00CF3266">
      <w:pPr>
        <w:pStyle w:val="ListParagraph"/>
        <w:numPr>
          <w:ilvl w:val="1"/>
          <w:numId w:val="2"/>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Professional</w:t>
      </w:r>
      <w:r>
        <w:rPr>
          <w:rFonts w:cstheme="minorHAnsi"/>
          <w:sz w:val="24"/>
          <w:szCs w:val="24"/>
          <w:shd w:val="clear" w:color="auto" w:fill="FFFFFF"/>
        </w:rPr>
        <w:t xml:space="preserve"> </w:t>
      </w:r>
      <w:r w:rsidRPr="00043B83">
        <w:rPr>
          <w:rFonts w:cstheme="minorHAnsi"/>
          <w:b/>
          <w:sz w:val="24"/>
          <w:szCs w:val="24"/>
          <w:shd w:val="clear" w:color="auto" w:fill="FFFFFF"/>
        </w:rPr>
        <w:t>OR</w:t>
      </w:r>
      <w:r>
        <w:rPr>
          <w:rFonts w:cstheme="minorHAnsi"/>
          <w:sz w:val="24"/>
          <w:szCs w:val="24"/>
          <w:shd w:val="clear" w:color="auto" w:fill="FFFFFF"/>
        </w:rPr>
        <w:t xml:space="preserve"> Personal</w:t>
      </w:r>
    </w:p>
    <w:p w14:paraId="624D4F63"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Application/Selection Process Timeline</w:t>
      </w:r>
    </w:p>
    <w:p w14:paraId="4AEB7370"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Applications open and information is made available online</w:t>
      </w:r>
      <w:r>
        <w:rPr>
          <w:rFonts w:cstheme="minorHAnsi"/>
          <w:sz w:val="24"/>
          <w:szCs w:val="24"/>
          <w:shd w:val="clear" w:color="auto" w:fill="FFFFFF"/>
        </w:rPr>
        <w:t xml:space="preserve"> at </w:t>
      </w:r>
      <w:hyperlink r:id="rId7" w:history="1">
        <w:r w:rsidRPr="002A254B">
          <w:rPr>
            <w:rFonts w:cstheme="minorHAnsi"/>
            <w:sz w:val="24"/>
            <w:szCs w:val="24"/>
            <w:shd w:val="clear" w:color="auto" w:fill="FFFFFF"/>
          </w:rPr>
          <w:t>https://www.tgh.org/careers</w:t>
        </w:r>
      </w:hyperlink>
      <w:r w:rsidRPr="002A254B">
        <w:rPr>
          <w:rFonts w:cstheme="minorHAnsi"/>
          <w:sz w:val="24"/>
          <w:szCs w:val="24"/>
          <w:shd w:val="clear" w:color="auto" w:fill="FFFFFF"/>
        </w:rPr>
        <w:t xml:space="preserve"> </w:t>
      </w:r>
      <w:r w:rsidRPr="00717A53">
        <w:rPr>
          <w:rFonts w:cstheme="minorHAnsi"/>
          <w:sz w:val="24"/>
          <w:szCs w:val="24"/>
          <w:shd w:val="clear" w:color="auto" w:fill="FFFFFF"/>
        </w:rPr>
        <w:t xml:space="preserve">for </w:t>
      </w:r>
      <w:proofErr w:type="gramStart"/>
      <w:r w:rsidRPr="00717A53">
        <w:rPr>
          <w:rFonts w:cstheme="minorHAnsi"/>
          <w:sz w:val="24"/>
          <w:szCs w:val="24"/>
          <w:shd w:val="clear" w:color="auto" w:fill="FFFFFF"/>
        </w:rPr>
        <w:t>Master’s</w:t>
      </w:r>
      <w:proofErr w:type="gramEnd"/>
      <w:r w:rsidRPr="00717A53">
        <w:rPr>
          <w:rFonts w:cstheme="minorHAnsi"/>
          <w:sz w:val="24"/>
          <w:szCs w:val="24"/>
          <w:shd w:val="clear" w:color="auto" w:fill="FFFFFF"/>
        </w:rPr>
        <w:t xml:space="preserve"> students expressing interest: </w:t>
      </w:r>
      <w:r w:rsidRPr="00717A53">
        <w:rPr>
          <w:rFonts w:cstheme="minorHAnsi"/>
          <w:b/>
          <w:sz w:val="24"/>
          <w:szCs w:val="24"/>
          <w:shd w:val="clear" w:color="auto" w:fill="FFFFFF"/>
        </w:rPr>
        <w:t xml:space="preserve">August </w:t>
      </w:r>
      <w:r>
        <w:rPr>
          <w:rFonts w:cstheme="minorHAnsi"/>
          <w:b/>
          <w:sz w:val="24"/>
          <w:szCs w:val="24"/>
          <w:shd w:val="clear" w:color="auto" w:fill="FFFFFF"/>
        </w:rPr>
        <w:t>19, 2019</w:t>
      </w:r>
    </w:p>
    <w:p w14:paraId="45B87943" w14:textId="77777777" w:rsidR="00CF3266" w:rsidRPr="00717A53" w:rsidRDefault="00CF3266" w:rsidP="00CF3266">
      <w:pPr>
        <w:pStyle w:val="ListParagraph"/>
        <w:numPr>
          <w:ilvl w:val="0"/>
          <w:numId w:val="1"/>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 xml:space="preserve">Applications </w:t>
      </w:r>
      <w:r>
        <w:rPr>
          <w:rFonts w:cstheme="minorHAnsi"/>
          <w:sz w:val="24"/>
          <w:szCs w:val="24"/>
          <w:shd w:val="clear" w:color="auto" w:fill="FFFFFF"/>
        </w:rPr>
        <w:t>Close</w:t>
      </w:r>
      <w:r w:rsidRPr="00717A53">
        <w:rPr>
          <w:rFonts w:cstheme="minorHAnsi"/>
          <w:sz w:val="24"/>
          <w:szCs w:val="24"/>
          <w:shd w:val="clear" w:color="auto" w:fill="FFFFFF"/>
        </w:rPr>
        <w:t xml:space="preserve">: </w:t>
      </w:r>
      <w:r>
        <w:rPr>
          <w:rFonts w:cstheme="minorHAnsi"/>
          <w:b/>
          <w:sz w:val="24"/>
          <w:szCs w:val="24"/>
          <w:shd w:val="clear" w:color="auto" w:fill="FFFFFF"/>
        </w:rPr>
        <w:t xml:space="preserve">September 30, 2019 at </w:t>
      </w:r>
      <w:r w:rsidRPr="003E3948">
        <w:rPr>
          <w:rFonts w:cstheme="minorHAnsi"/>
          <w:b/>
          <w:sz w:val="24"/>
          <w:szCs w:val="24"/>
          <w:shd w:val="clear" w:color="auto" w:fill="FFFFFF"/>
        </w:rPr>
        <w:t>11:59 PM EST</w:t>
      </w:r>
    </w:p>
    <w:p w14:paraId="5110D68E" w14:textId="77777777" w:rsidR="00CF3266" w:rsidRPr="00717A53" w:rsidRDefault="00CF3266" w:rsidP="00CF3266">
      <w:pPr>
        <w:pStyle w:val="ListParagraph"/>
        <w:numPr>
          <w:ilvl w:val="0"/>
          <w:numId w:val="1"/>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 xml:space="preserve">Review of Applications and </w:t>
      </w:r>
      <w:r>
        <w:rPr>
          <w:rFonts w:cstheme="minorHAnsi"/>
          <w:sz w:val="24"/>
          <w:szCs w:val="24"/>
          <w:shd w:val="clear" w:color="auto" w:fill="FFFFFF"/>
        </w:rPr>
        <w:t>On-Site</w:t>
      </w:r>
      <w:r w:rsidRPr="00717A53">
        <w:rPr>
          <w:rFonts w:cstheme="minorHAnsi"/>
          <w:sz w:val="24"/>
          <w:szCs w:val="24"/>
          <w:shd w:val="clear" w:color="auto" w:fill="FFFFFF"/>
        </w:rPr>
        <w:t xml:space="preserve">s: </w:t>
      </w:r>
      <w:r>
        <w:rPr>
          <w:rFonts w:cstheme="minorHAnsi"/>
          <w:b/>
          <w:sz w:val="24"/>
          <w:szCs w:val="24"/>
          <w:shd w:val="clear" w:color="auto" w:fill="FFFFFF"/>
        </w:rPr>
        <w:t>October 1-31, 2019</w:t>
      </w:r>
      <w:r w:rsidRPr="00717A53">
        <w:rPr>
          <w:rFonts w:cstheme="minorHAnsi"/>
          <w:sz w:val="24"/>
          <w:szCs w:val="24"/>
          <w:shd w:val="clear" w:color="auto" w:fill="FFFFFF"/>
        </w:rPr>
        <w:t xml:space="preserve"> </w:t>
      </w:r>
    </w:p>
    <w:p w14:paraId="0E03EFEA" w14:textId="77777777" w:rsidR="00CF3266" w:rsidRPr="00261DAC" w:rsidRDefault="00CF3266" w:rsidP="00CF3266">
      <w:pPr>
        <w:pStyle w:val="ListParagraph"/>
        <w:numPr>
          <w:ilvl w:val="0"/>
          <w:numId w:val="1"/>
        </w:numPr>
        <w:tabs>
          <w:tab w:val="left" w:pos="922"/>
        </w:tabs>
        <w:spacing w:line="240" w:lineRule="auto"/>
        <w:rPr>
          <w:rFonts w:cstheme="minorHAnsi"/>
          <w:sz w:val="24"/>
          <w:szCs w:val="24"/>
          <w:shd w:val="clear" w:color="auto" w:fill="FFFFFF"/>
        </w:rPr>
      </w:pPr>
      <w:r w:rsidRPr="00717A53">
        <w:rPr>
          <w:rFonts w:cstheme="minorHAnsi"/>
          <w:sz w:val="24"/>
          <w:szCs w:val="24"/>
          <w:shd w:val="clear" w:color="auto" w:fill="FFFFFF"/>
        </w:rPr>
        <w:t xml:space="preserve">Offer Date: </w:t>
      </w:r>
      <w:r>
        <w:rPr>
          <w:rFonts w:cstheme="minorHAnsi"/>
          <w:b/>
          <w:sz w:val="24"/>
          <w:szCs w:val="24"/>
          <w:shd w:val="clear" w:color="auto" w:fill="FFFFFF"/>
        </w:rPr>
        <w:t>November 11, 2019</w:t>
      </w:r>
    </w:p>
    <w:p w14:paraId="785C8907" w14:textId="2010D1AD" w:rsidR="00CF3266" w:rsidRPr="00CF3266" w:rsidRDefault="00CF3266" w:rsidP="00CF3266">
      <w:pPr>
        <w:pStyle w:val="ListParagraph"/>
        <w:numPr>
          <w:ilvl w:val="0"/>
          <w:numId w:val="1"/>
        </w:numPr>
        <w:tabs>
          <w:tab w:val="left" w:pos="922"/>
        </w:tabs>
        <w:spacing w:line="240" w:lineRule="auto"/>
        <w:rPr>
          <w:rFonts w:cstheme="minorHAnsi"/>
          <w:sz w:val="24"/>
          <w:szCs w:val="24"/>
          <w:shd w:val="clear" w:color="auto" w:fill="FFFFFF"/>
        </w:rPr>
      </w:pPr>
      <w:r>
        <w:rPr>
          <w:rFonts w:cstheme="minorHAnsi"/>
          <w:sz w:val="24"/>
          <w:szCs w:val="24"/>
          <w:shd w:val="clear" w:color="auto" w:fill="FFFFFF"/>
        </w:rPr>
        <w:t xml:space="preserve">Deadline to Accept Offer: </w:t>
      </w:r>
      <w:r>
        <w:rPr>
          <w:rFonts w:cstheme="minorHAnsi"/>
          <w:b/>
          <w:sz w:val="24"/>
          <w:szCs w:val="24"/>
          <w:shd w:val="clear" w:color="auto" w:fill="FFFFFF"/>
        </w:rPr>
        <w:t>November 15, 2019 at 5:00 PM EST</w:t>
      </w:r>
    </w:p>
    <w:p w14:paraId="6A956953" w14:textId="77777777" w:rsidR="0057591C" w:rsidRPr="00F96B35" w:rsidRDefault="0057591C" w:rsidP="00CF3266">
      <w:pPr>
        <w:tabs>
          <w:tab w:val="left" w:pos="922"/>
        </w:tabs>
        <w:spacing w:line="240" w:lineRule="auto"/>
        <w:contextualSpacing/>
        <w:rPr>
          <w:rFonts w:cstheme="minorHAnsi"/>
          <w:b/>
          <w:sz w:val="24"/>
          <w:szCs w:val="24"/>
          <w:u w:val="single"/>
          <w:shd w:val="clear" w:color="auto" w:fill="FFFFFF"/>
        </w:rPr>
      </w:pPr>
    </w:p>
    <w:p w14:paraId="5ABC4F4A" w14:textId="5F5F6AEA" w:rsidR="00CF3266" w:rsidRPr="00717A53" w:rsidRDefault="00CF3266" w:rsidP="00CF3266">
      <w:pPr>
        <w:tabs>
          <w:tab w:val="left" w:pos="922"/>
        </w:tabs>
        <w:spacing w:line="240" w:lineRule="auto"/>
        <w:contextualSpacing/>
        <w:rPr>
          <w:rFonts w:cstheme="minorHAnsi"/>
          <w:b/>
          <w:sz w:val="32"/>
          <w:szCs w:val="24"/>
          <w:u w:val="single"/>
          <w:shd w:val="clear" w:color="auto" w:fill="FFFFFF"/>
        </w:rPr>
      </w:pPr>
      <w:r w:rsidRPr="00717A53">
        <w:rPr>
          <w:rFonts w:cstheme="minorHAnsi"/>
          <w:b/>
          <w:sz w:val="32"/>
          <w:szCs w:val="24"/>
          <w:u w:val="single"/>
          <w:shd w:val="clear" w:color="auto" w:fill="FFFFFF"/>
        </w:rPr>
        <w:t xml:space="preserve">SECTION </w:t>
      </w:r>
      <w:r>
        <w:rPr>
          <w:rFonts w:cstheme="minorHAnsi"/>
          <w:b/>
          <w:sz w:val="32"/>
          <w:szCs w:val="24"/>
          <w:u w:val="single"/>
          <w:shd w:val="clear" w:color="auto" w:fill="FFFFFF"/>
        </w:rPr>
        <w:t>I</w:t>
      </w:r>
      <w:r w:rsidRPr="00717A53">
        <w:rPr>
          <w:rFonts w:cstheme="minorHAnsi"/>
          <w:b/>
          <w:sz w:val="32"/>
          <w:szCs w:val="24"/>
          <w:u w:val="single"/>
          <w:shd w:val="clear" w:color="auto" w:fill="FFFFFF"/>
        </w:rPr>
        <w:t>V: FREQUENTLY ASKED QUESTIONS</w:t>
      </w:r>
    </w:p>
    <w:p w14:paraId="053AB69C"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p>
    <w:p w14:paraId="387C214A"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bookmarkStart w:id="1" w:name="_Hlk11326714"/>
      <w:r w:rsidRPr="00717A53">
        <w:rPr>
          <w:rFonts w:cstheme="minorHAnsi"/>
          <w:b/>
          <w:sz w:val="24"/>
          <w:szCs w:val="24"/>
          <w:shd w:val="clear" w:color="auto" w:fill="FFFFFF"/>
        </w:rPr>
        <w:t>What are you looking for in a fellowship candidate?</w:t>
      </w:r>
    </w:p>
    <w:p w14:paraId="0D15EA94"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At TGH, we are looking for self-driven and independent, strategic thinkers. We want our fellows to build relationships, be team players, and contribute to finding new, innovative solutions to today’s healthcare challenges.</w:t>
      </w:r>
    </w:p>
    <w:p w14:paraId="1CD4E950"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2F0768B9" w14:textId="77777777" w:rsidR="00CF3266"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What level of experience is required to apply for the fellowship?</w:t>
      </w:r>
    </w:p>
    <w:p w14:paraId="4A493FB2" w14:textId="77777777" w:rsidR="00CF3266" w:rsidRDefault="00CF3266" w:rsidP="00CF3266">
      <w:pPr>
        <w:spacing w:line="240" w:lineRule="auto"/>
        <w:contextualSpacing/>
        <w:rPr>
          <w:sz w:val="24"/>
          <w:szCs w:val="24"/>
          <w:shd w:val="clear" w:color="auto" w:fill="FFFFFF"/>
        </w:rPr>
      </w:pPr>
      <w:r>
        <w:rPr>
          <w:sz w:val="24"/>
          <w:szCs w:val="24"/>
          <w:shd w:val="clear" w:color="auto" w:fill="FFFFFF"/>
        </w:rPr>
        <w:t xml:space="preserve">We strongly encourage that applicants have experience within the health care profession, whether it be through an internship, volunteer opportunity, or full-time employment. However, TGH welcomes applicants to apply regardless of their level of experience. </w:t>
      </w:r>
    </w:p>
    <w:p w14:paraId="771D7C3B" w14:textId="77777777" w:rsidR="00CF3266" w:rsidRPr="00AE323E" w:rsidRDefault="00CF3266" w:rsidP="00CF3266">
      <w:pPr>
        <w:spacing w:line="240" w:lineRule="auto"/>
        <w:contextualSpacing/>
        <w:rPr>
          <w:sz w:val="24"/>
          <w:szCs w:val="24"/>
          <w:shd w:val="clear" w:color="auto" w:fill="FFFFFF"/>
        </w:rPr>
      </w:pPr>
    </w:p>
    <w:p w14:paraId="4133EB34"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Pr>
          <w:rFonts w:cstheme="minorHAnsi"/>
          <w:b/>
          <w:sz w:val="24"/>
          <w:szCs w:val="24"/>
          <w:shd w:val="clear" w:color="auto" w:fill="FFFFFF"/>
        </w:rPr>
        <w:t>Can I apply to both fellowship programs?</w:t>
      </w:r>
    </w:p>
    <w:p w14:paraId="7FD308D2" w14:textId="77777777" w:rsidR="00CF3266" w:rsidRDefault="00CF3266" w:rsidP="00CF3266">
      <w:pPr>
        <w:spacing w:line="240" w:lineRule="auto"/>
        <w:contextualSpacing/>
        <w:rPr>
          <w:sz w:val="24"/>
          <w:szCs w:val="24"/>
          <w:shd w:val="clear" w:color="auto" w:fill="FFFFFF"/>
        </w:rPr>
      </w:pPr>
      <w:r>
        <w:rPr>
          <w:sz w:val="24"/>
          <w:szCs w:val="24"/>
          <w:shd w:val="clear" w:color="auto" w:fill="FFFFFF"/>
        </w:rPr>
        <w:t>Yes, however, to apply to both the finance and administrative fellowship, two separate applications must be submitted to the appropriate team.</w:t>
      </w:r>
    </w:p>
    <w:p w14:paraId="5E0665CF" w14:textId="1112097C" w:rsidR="00CF3266" w:rsidRDefault="00CF3266" w:rsidP="00CF3266">
      <w:pPr>
        <w:spacing w:line="240" w:lineRule="auto"/>
        <w:contextualSpacing/>
        <w:rPr>
          <w:sz w:val="24"/>
          <w:szCs w:val="24"/>
          <w:shd w:val="clear" w:color="auto" w:fill="FFFFFF"/>
        </w:rPr>
      </w:pPr>
    </w:p>
    <w:p w14:paraId="7C02A067" w14:textId="0BD07EC4" w:rsidR="00F96B35" w:rsidRDefault="00F96B35" w:rsidP="00CF3266">
      <w:pPr>
        <w:spacing w:line="240" w:lineRule="auto"/>
        <w:contextualSpacing/>
        <w:rPr>
          <w:sz w:val="24"/>
          <w:szCs w:val="24"/>
          <w:shd w:val="clear" w:color="auto" w:fill="FFFFFF"/>
        </w:rPr>
      </w:pPr>
    </w:p>
    <w:p w14:paraId="589BD5AE" w14:textId="77777777" w:rsidR="00F96B35" w:rsidRPr="00AE323E" w:rsidRDefault="00F96B35" w:rsidP="00CF3266">
      <w:pPr>
        <w:spacing w:line="240" w:lineRule="auto"/>
        <w:contextualSpacing/>
        <w:rPr>
          <w:sz w:val="24"/>
          <w:szCs w:val="24"/>
          <w:shd w:val="clear" w:color="auto" w:fill="FFFFFF"/>
        </w:rPr>
      </w:pPr>
    </w:p>
    <w:p w14:paraId="367CAA6A"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lastRenderedPageBreak/>
        <w:t xml:space="preserve">Do I have to be a </w:t>
      </w:r>
      <w:proofErr w:type="gramStart"/>
      <w:r w:rsidRPr="00717A53">
        <w:rPr>
          <w:rFonts w:cstheme="minorHAnsi"/>
          <w:b/>
          <w:sz w:val="24"/>
          <w:szCs w:val="24"/>
          <w:shd w:val="clear" w:color="auto" w:fill="FFFFFF"/>
        </w:rPr>
        <w:t>Master’s</w:t>
      </w:r>
      <w:proofErr w:type="gramEnd"/>
      <w:r w:rsidRPr="00717A53">
        <w:rPr>
          <w:rFonts w:cstheme="minorHAnsi"/>
          <w:b/>
          <w:sz w:val="24"/>
          <w:szCs w:val="24"/>
          <w:shd w:val="clear" w:color="auto" w:fill="FFFFFF"/>
        </w:rPr>
        <w:t xml:space="preserve"> student to apply?</w:t>
      </w:r>
    </w:p>
    <w:p w14:paraId="67A273C8" w14:textId="77777777" w:rsidR="00CF3266"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 xml:space="preserve">Yes. Due to the nature of the fellowship process and the expectations when performing project work around the organization, the fellowship is a </w:t>
      </w:r>
      <w:proofErr w:type="gramStart"/>
      <w:r w:rsidRPr="00717A53">
        <w:rPr>
          <w:rFonts w:cstheme="minorHAnsi"/>
          <w:sz w:val="24"/>
          <w:szCs w:val="24"/>
          <w:shd w:val="clear" w:color="auto" w:fill="FFFFFF"/>
        </w:rPr>
        <w:t>Master’s</w:t>
      </w:r>
      <w:proofErr w:type="gramEnd"/>
      <w:r w:rsidRPr="00717A53">
        <w:rPr>
          <w:rFonts w:cstheme="minorHAnsi"/>
          <w:sz w:val="24"/>
          <w:szCs w:val="24"/>
          <w:shd w:val="clear" w:color="auto" w:fill="FFFFFF"/>
        </w:rPr>
        <w:t xml:space="preserve"> level position. Applicants must have completed </w:t>
      </w:r>
      <w:proofErr w:type="gramStart"/>
      <w:r w:rsidRPr="00717A53">
        <w:rPr>
          <w:rFonts w:cstheme="minorHAnsi"/>
          <w:sz w:val="24"/>
          <w:szCs w:val="24"/>
          <w:shd w:val="clear" w:color="auto" w:fill="FFFFFF"/>
        </w:rPr>
        <w:t>Master’s</w:t>
      </w:r>
      <w:proofErr w:type="gramEnd"/>
      <w:r w:rsidRPr="00717A53">
        <w:rPr>
          <w:rFonts w:cstheme="minorHAnsi"/>
          <w:sz w:val="24"/>
          <w:szCs w:val="24"/>
          <w:shd w:val="clear" w:color="auto" w:fill="FFFFFF"/>
        </w:rPr>
        <w:t xml:space="preserve"> coursework to apply.</w:t>
      </w:r>
    </w:p>
    <w:p w14:paraId="5E40A03D" w14:textId="77777777" w:rsidR="00CF3266" w:rsidRDefault="00CF3266" w:rsidP="00CF3266">
      <w:pPr>
        <w:tabs>
          <w:tab w:val="left" w:pos="922"/>
        </w:tabs>
        <w:spacing w:line="240" w:lineRule="auto"/>
        <w:contextualSpacing/>
        <w:rPr>
          <w:rFonts w:cstheme="minorHAnsi"/>
          <w:sz w:val="24"/>
          <w:szCs w:val="24"/>
          <w:shd w:val="clear" w:color="auto" w:fill="FFFFFF"/>
        </w:rPr>
      </w:pPr>
    </w:p>
    <w:p w14:paraId="7050232B"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 xml:space="preserve">Do you accept individuals who have already earned their </w:t>
      </w:r>
      <w:proofErr w:type="gramStart"/>
      <w:r w:rsidRPr="00717A53">
        <w:rPr>
          <w:rFonts w:cstheme="minorHAnsi"/>
          <w:b/>
          <w:sz w:val="24"/>
          <w:szCs w:val="24"/>
          <w:shd w:val="clear" w:color="auto" w:fill="FFFFFF"/>
        </w:rPr>
        <w:t>Master’s</w:t>
      </w:r>
      <w:proofErr w:type="gramEnd"/>
      <w:r w:rsidRPr="00717A53">
        <w:rPr>
          <w:rFonts w:cstheme="minorHAnsi"/>
          <w:b/>
          <w:sz w:val="24"/>
          <w:szCs w:val="24"/>
          <w:shd w:val="clear" w:color="auto" w:fill="FFFFFF"/>
        </w:rPr>
        <w:t xml:space="preserve"> degree and are not currently an academic student?</w:t>
      </w:r>
    </w:p>
    <w:p w14:paraId="4D620EBF" w14:textId="77777777" w:rsidR="00CF3266" w:rsidRDefault="00CF3266" w:rsidP="00CF3266">
      <w:pPr>
        <w:spacing w:line="240" w:lineRule="auto"/>
        <w:contextualSpacing/>
        <w:rPr>
          <w:rFonts w:cstheme="minorHAnsi"/>
          <w:sz w:val="24"/>
          <w:szCs w:val="24"/>
          <w:shd w:val="clear" w:color="auto" w:fill="FFFFFF"/>
        </w:rPr>
      </w:pPr>
      <w:r w:rsidRPr="00AE323E">
        <w:rPr>
          <w:rFonts w:cstheme="minorHAnsi"/>
          <w:sz w:val="24"/>
          <w:szCs w:val="24"/>
          <w:shd w:val="clear" w:color="auto" w:fill="FFFFFF"/>
        </w:rPr>
        <w:t>Yes, we do accept those applications.</w:t>
      </w:r>
    </w:p>
    <w:p w14:paraId="45DCA568" w14:textId="77777777" w:rsidR="00CF3266" w:rsidRPr="00717A53" w:rsidRDefault="00CF3266" w:rsidP="00CF3266">
      <w:pPr>
        <w:spacing w:line="240" w:lineRule="auto"/>
        <w:contextualSpacing/>
        <w:rPr>
          <w:rFonts w:cstheme="minorHAnsi"/>
          <w:sz w:val="24"/>
          <w:szCs w:val="24"/>
          <w:shd w:val="clear" w:color="auto" w:fill="FFFFFF"/>
        </w:rPr>
      </w:pPr>
    </w:p>
    <w:p w14:paraId="3CC24F76"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How many fellows are you taking and how long is the fellowship?</w:t>
      </w:r>
    </w:p>
    <w:p w14:paraId="056F430E"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We will accept up to two administrative fellows and the fellowship will last one year.</w:t>
      </w:r>
    </w:p>
    <w:p w14:paraId="186C13C1" w14:textId="77777777" w:rsidR="00CF3266" w:rsidRDefault="00CF3266" w:rsidP="00CF3266">
      <w:pPr>
        <w:tabs>
          <w:tab w:val="left" w:pos="922"/>
        </w:tabs>
        <w:spacing w:line="240" w:lineRule="auto"/>
        <w:contextualSpacing/>
        <w:rPr>
          <w:rFonts w:cstheme="minorHAnsi"/>
          <w:b/>
          <w:sz w:val="24"/>
          <w:szCs w:val="24"/>
          <w:shd w:val="clear" w:color="auto" w:fill="FFFFFF"/>
        </w:rPr>
      </w:pPr>
    </w:p>
    <w:p w14:paraId="053E9847"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Have fellows succeeded at TGH in the past?</w:t>
      </w:r>
    </w:p>
    <w:p w14:paraId="4D648202"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Many fellows have gone on in their careers to succeed at TGH. Former fellows have risen to leadership roles throughout the organization, including Vice Presidents, Directors, Nursing Administrators, and Business Operations Managers. Former fellows have also taken on roles in Strategic Planning, Operations, Ambulatory Care, and Project Management.</w:t>
      </w:r>
    </w:p>
    <w:p w14:paraId="23DC52A2"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565AC467"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Am I guaranteed a job after completing my fellowship?</w:t>
      </w:r>
    </w:p>
    <w:p w14:paraId="732D7C0E"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No. While TGH has a rich history of hiring fellows, there is not a job guarantee at the end of the fellowship.</w:t>
      </w:r>
    </w:p>
    <w:p w14:paraId="32FD20B8"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33DD0198"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What types of projects do fellows complete during their fellowship?</w:t>
      </w:r>
    </w:p>
    <w:p w14:paraId="4092FA63" w14:textId="77777777" w:rsidR="00CF3266" w:rsidRDefault="00CF3266" w:rsidP="00CF3266">
      <w:pPr>
        <w:spacing w:line="240" w:lineRule="auto"/>
        <w:contextualSpacing/>
        <w:rPr>
          <w:sz w:val="24"/>
          <w:szCs w:val="24"/>
          <w:shd w:val="clear" w:color="auto" w:fill="FFFFFF"/>
        </w:rPr>
      </w:pPr>
      <w:r>
        <w:rPr>
          <w:sz w:val="24"/>
          <w:szCs w:val="24"/>
          <w:shd w:val="clear" w:color="auto" w:fill="FFFFFF"/>
        </w:rPr>
        <w:t xml:space="preserve">Fellows will have the opportunity to delve into a variety of projects in specific areas based on their interests and the needs of TGH. The fellowship is a hybrid model of rotational experience and project work. </w:t>
      </w:r>
    </w:p>
    <w:p w14:paraId="619C7D75" w14:textId="77777777" w:rsidR="00CF3266" w:rsidRPr="00AE323E" w:rsidRDefault="00CF3266" w:rsidP="00CF3266">
      <w:pPr>
        <w:spacing w:line="240" w:lineRule="auto"/>
        <w:contextualSpacing/>
        <w:rPr>
          <w:sz w:val="24"/>
          <w:szCs w:val="24"/>
          <w:shd w:val="clear" w:color="auto" w:fill="FFFFFF"/>
        </w:rPr>
      </w:pPr>
    </w:p>
    <w:p w14:paraId="4B85D502"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 xml:space="preserve">What </w:t>
      </w:r>
      <w:r>
        <w:rPr>
          <w:rFonts w:cstheme="minorHAnsi"/>
          <w:b/>
          <w:sz w:val="24"/>
          <w:szCs w:val="24"/>
          <w:shd w:val="clear" w:color="auto" w:fill="FFFFFF"/>
        </w:rPr>
        <w:t>are the salary and benefits?</w:t>
      </w:r>
    </w:p>
    <w:p w14:paraId="68498FF5" w14:textId="77777777" w:rsidR="00CF3266"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 xml:space="preserve">The Administrative Fellowship Program salary </w:t>
      </w:r>
      <w:r>
        <w:rPr>
          <w:rFonts w:cstheme="minorHAnsi"/>
          <w:sz w:val="24"/>
          <w:szCs w:val="24"/>
          <w:shd w:val="clear" w:color="auto" w:fill="FFFFFF"/>
        </w:rPr>
        <w:t>and benefits are</w:t>
      </w:r>
      <w:r w:rsidRPr="00717A53">
        <w:rPr>
          <w:rFonts w:cstheme="minorHAnsi"/>
          <w:sz w:val="24"/>
          <w:szCs w:val="24"/>
          <w:shd w:val="clear" w:color="auto" w:fill="FFFFFF"/>
        </w:rPr>
        <w:t xml:space="preserve"> competitive with other programs.</w:t>
      </w:r>
    </w:p>
    <w:p w14:paraId="692488DC" w14:textId="77777777" w:rsidR="00CF3266" w:rsidRDefault="00CF3266" w:rsidP="00CF3266">
      <w:pPr>
        <w:tabs>
          <w:tab w:val="left" w:pos="922"/>
        </w:tabs>
        <w:spacing w:line="240" w:lineRule="auto"/>
        <w:contextualSpacing/>
        <w:rPr>
          <w:rFonts w:cstheme="minorHAnsi"/>
          <w:sz w:val="24"/>
          <w:szCs w:val="24"/>
          <w:shd w:val="clear" w:color="auto" w:fill="FFFFFF"/>
        </w:rPr>
      </w:pPr>
    </w:p>
    <w:p w14:paraId="39A35E7A" w14:textId="77777777" w:rsidR="00CF3266" w:rsidRDefault="00CF3266" w:rsidP="00CF3266">
      <w:pPr>
        <w:spacing w:line="240" w:lineRule="auto"/>
        <w:contextualSpacing/>
        <w:rPr>
          <w:b/>
          <w:bCs/>
          <w:sz w:val="24"/>
          <w:szCs w:val="24"/>
          <w:shd w:val="clear" w:color="auto" w:fill="FFFFFF"/>
        </w:rPr>
      </w:pPr>
      <w:r>
        <w:rPr>
          <w:b/>
          <w:bCs/>
          <w:sz w:val="24"/>
          <w:szCs w:val="24"/>
          <w:shd w:val="clear" w:color="auto" w:fill="FFFFFF"/>
        </w:rPr>
        <w:t>How will candidates advance through the interview process?</w:t>
      </w:r>
    </w:p>
    <w:p w14:paraId="4B6C4024" w14:textId="77777777" w:rsidR="00CF3266" w:rsidRPr="00AE323E" w:rsidRDefault="00CF3266" w:rsidP="00CF3266">
      <w:pPr>
        <w:spacing w:line="240" w:lineRule="auto"/>
        <w:contextualSpacing/>
        <w:rPr>
          <w:b/>
          <w:bCs/>
          <w:sz w:val="24"/>
          <w:szCs w:val="24"/>
          <w:shd w:val="clear" w:color="auto" w:fill="FFFFFF"/>
        </w:rPr>
      </w:pPr>
      <w:r>
        <w:rPr>
          <w:sz w:val="24"/>
          <w:szCs w:val="24"/>
          <w:shd w:val="clear" w:color="auto" w:fill="FFFFFF"/>
        </w:rPr>
        <w:t>If selected, candidates who are chosen to advance will be interviewed via phone, and a select few will then be invited for an on-site interview.</w:t>
      </w:r>
    </w:p>
    <w:p w14:paraId="12E58C68" w14:textId="77777777" w:rsidR="00CF3266" w:rsidRDefault="00CF3266" w:rsidP="00CF3266">
      <w:pPr>
        <w:tabs>
          <w:tab w:val="left" w:pos="922"/>
        </w:tabs>
        <w:spacing w:line="240" w:lineRule="auto"/>
        <w:contextualSpacing/>
        <w:rPr>
          <w:rFonts w:cstheme="minorHAnsi"/>
          <w:sz w:val="24"/>
          <w:szCs w:val="24"/>
          <w:shd w:val="clear" w:color="auto" w:fill="FFFFFF"/>
        </w:rPr>
      </w:pPr>
    </w:p>
    <w:p w14:paraId="0B4837C5" w14:textId="77777777" w:rsidR="00CF3266" w:rsidRPr="00717A53" w:rsidRDefault="00CF3266" w:rsidP="00CF3266">
      <w:pPr>
        <w:tabs>
          <w:tab w:val="left" w:pos="922"/>
        </w:tabs>
        <w:spacing w:line="240" w:lineRule="auto"/>
        <w:contextualSpacing/>
        <w:rPr>
          <w:rFonts w:cstheme="minorHAnsi"/>
          <w:b/>
          <w:sz w:val="24"/>
          <w:szCs w:val="24"/>
          <w:shd w:val="clear" w:color="auto" w:fill="FFFFFF"/>
        </w:rPr>
      </w:pPr>
      <w:r w:rsidRPr="00717A53">
        <w:rPr>
          <w:rFonts w:cstheme="minorHAnsi"/>
          <w:b/>
          <w:sz w:val="24"/>
          <w:szCs w:val="24"/>
          <w:shd w:val="clear" w:color="auto" w:fill="FFFFFF"/>
        </w:rPr>
        <w:t>If offered, how long do I have to decide?</w:t>
      </w:r>
    </w:p>
    <w:p w14:paraId="6C9026B4" w14:textId="40488AC7" w:rsidR="00CF3266" w:rsidRDefault="00CF3266" w:rsidP="00CF3266">
      <w:pPr>
        <w:tabs>
          <w:tab w:val="left" w:pos="922"/>
        </w:tabs>
        <w:spacing w:line="240" w:lineRule="auto"/>
        <w:contextualSpacing/>
        <w:rPr>
          <w:rFonts w:cstheme="minorHAnsi"/>
          <w:sz w:val="24"/>
          <w:szCs w:val="24"/>
          <w:shd w:val="clear" w:color="auto" w:fill="FFFFFF"/>
        </w:rPr>
      </w:pPr>
      <w:r w:rsidRPr="00717A53">
        <w:rPr>
          <w:rFonts w:cstheme="minorHAnsi"/>
          <w:sz w:val="24"/>
          <w:szCs w:val="24"/>
          <w:shd w:val="clear" w:color="auto" w:fill="FFFFFF"/>
        </w:rPr>
        <w:t xml:space="preserve">We </w:t>
      </w:r>
      <w:r>
        <w:rPr>
          <w:rFonts w:cstheme="minorHAnsi"/>
          <w:sz w:val="24"/>
          <w:szCs w:val="24"/>
          <w:shd w:val="clear" w:color="auto" w:fill="FFFFFF"/>
        </w:rPr>
        <w:t>will extend offers on Monday, November 11</w:t>
      </w:r>
      <w:r w:rsidRPr="00043B83">
        <w:rPr>
          <w:rFonts w:cstheme="minorHAnsi"/>
          <w:sz w:val="24"/>
          <w:szCs w:val="24"/>
          <w:shd w:val="clear" w:color="auto" w:fill="FFFFFF"/>
          <w:vertAlign w:val="superscript"/>
        </w:rPr>
        <w:t>th</w:t>
      </w:r>
      <w:r>
        <w:rPr>
          <w:rFonts w:cstheme="minorHAnsi"/>
          <w:sz w:val="24"/>
          <w:szCs w:val="24"/>
          <w:shd w:val="clear" w:color="auto" w:fill="FFFFFF"/>
        </w:rPr>
        <w:t>. Candidates will be given until Friday, November 15</w:t>
      </w:r>
      <w:r w:rsidRPr="00043B83">
        <w:rPr>
          <w:rFonts w:cstheme="minorHAnsi"/>
          <w:sz w:val="24"/>
          <w:szCs w:val="24"/>
          <w:shd w:val="clear" w:color="auto" w:fill="FFFFFF"/>
          <w:vertAlign w:val="superscript"/>
        </w:rPr>
        <w:t>th</w:t>
      </w:r>
      <w:r>
        <w:rPr>
          <w:rFonts w:cstheme="minorHAnsi"/>
          <w:sz w:val="24"/>
          <w:szCs w:val="24"/>
          <w:shd w:val="clear" w:color="auto" w:fill="FFFFFF"/>
        </w:rPr>
        <w:t xml:space="preserve"> at 5:00 PM EST to accept.</w:t>
      </w:r>
    </w:p>
    <w:p w14:paraId="3A00BF39" w14:textId="2C24DC07" w:rsidR="00CF3266" w:rsidRDefault="00CF3266" w:rsidP="00CF3266">
      <w:pPr>
        <w:tabs>
          <w:tab w:val="left" w:pos="922"/>
        </w:tabs>
        <w:spacing w:line="240" w:lineRule="auto"/>
        <w:contextualSpacing/>
        <w:rPr>
          <w:rFonts w:cstheme="minorHAnsi"/>
          <w:sz w:val="24"/>
          <w:szCs w:val="24"/>
          <w:shd w:val="clear" w:color="auto" w:fill="FFFFFF"/>
        </w:rPr>
      </w:pPr>
    </w:p>
    <w:p w14:paraId="1D19C01A" w14:textId="6E14761D" w:rsidR="00CF3266" w:rsidRDefault="00CF3266" w:rsidP="00CF3266">
      <w:pPr>
        <w:tabs>
          <w:tab w:val="left" w:pos="922"/>
        </w:tabs>
        <w:spacing w:line="240" w:lineRule="auto"/>
        <w:contextualSpacing/>
        <w:rPr>
          <w:rFonts w:cstheme="minorHAnsi"/>
          <w:sz w:val="24"/>
          <w:szCs w:val="24"/>
          <w:shd w:val="clear" w:color="auto" w:fill="FFFFFF"/>
        </w:rPr>
      </w:pPr>
    </w:p>
    <w:p w14:paraId="2204188B" w14:textId="13AAB394" w:rsidR="00CF3266" w:rsidRDefault="00CF3266" w:rsidP="00CF3266">
      <w:pPr>
        <w:tabs>
          <w:tab w:val="left" w:pos="922"/>
        </w:tabs>
        <w:spacing w:line="240" w:lineRule="auto"/>
        <w:contextualSpacing/>
        <w:rPr>
          <w:rFonts w:cstheme="minorHAnsi"/>
          <w:sz w:val="24"/>
          <w:szCs w:val="24"/>
          <w:shd w:val="clear" w:color="auto" w:fill="FFFFFF"/>
        </w:rPr>
      </w:pPr>
    </w:p>
    <w:p w14:paraId="16B8004C" w14:textId="6AFFC5E6" w:rsidR="00CF3266" w:rsidRDefault="00CF3266" w:rsidP="00CF3266">
      <w:pPr>
        <w:tabs>
          <w:tab w:val="left" w:pos="922"/>
        </w:tabs>
        <w:spacing w:line="240" w:lineRule="auto"/>
        <w:contextualSpacing/>
        <w:rPr>
          <w:rFonts w:cstheme="minorHAnsi"/>
          <w:sz w:val="24"/>
          <w:szCs w:val="24"/>
          <w:shd w:val="clear" w:color="auto" w:fill="FFFFFF"/>
        </w:rPr>
      </w:pPr>
    </w:p>
    <w:bookmarkEnd w:id="1"/>
    <w:p w14:paraId="4BFB97DD" w14:textId="77777777" w:rsidR="00F96B35" w:rsidRDefault="00F96B35" w:rsidP="00CF3266">
      <w:pPr>
        <w:tabs>
          <w:tab w:val="left" w:pos="922"/>
        </w:tabs>
        <w:spacing w:line="240" w:lineRule="auto"/>
        <w:contextualSpacing/>
        <w:rPr>
          <w:rFonts w:cstheme="minorHAnsi"/>
          <w:sz w:val="24"/>
          <w:szCs w:val="24"/>
          <w:shd w:val="clear" w:color="auto" w:fill="FFFFFF"/>
        </w:rPr>
      </w:pPr>
    </w:p>
    <w:p w14:paraId="67B8E7F8" w14:textId="6D61620E" w:rsidR="00CF3266" w:rsidRPr="00043B83" w:rsidRDefault="00CF3266" w:rsidP="00CF3266">
      <w:pPr>
        <w:tabs>
          <w:tab w:val="left" w:pos="922"/>
        </w:tabs>
        <w:spacing w:line="240" w:lineRule="auto"/>
        <w:contextualSpacing/>
        <w:rPr>
          <w:rFonts w:cstheme="minorHAnsi"/>
          <w:b/>
          <w:sz w:val="32"/>
          <w:szCs w:val="24"/>
          <w:u w:val="single"/>
          <w:shd w:val="clear" w:color="auto" w:fill="FFFFFF"/>
        </w:rPr>
      </w:pPr>
      <w:r w:rsidRPr="00043B83">
        <w:rPr>
          <w:rFonts w:cstheme="minorHAnsi"/>
          <w:b/>
          <w:sz w:val="32"/>
          <w:szCs w:val="24"/>
          <w:u w:val="single"/>
          <w:shd w:val="clear" w:color="auto" w:fill="FFFFFF"/>
        </w:rPr>
        <w:lastRenderedPageBreak/>
        <w:t>SECTION V</w:t>
      </w:r>
      <w:r>
        <w:rPr>
          <w:rFonts w:cstheme="minorHAnsi"/>
          <w:b/>
          <w:sz w:val="32"/>
          <w:szCs w:val="24"/>
          <w:u w:val="single"/>
          <w:shd w:val="clear" w:color="auto" w:fill="FFFFFF"/>
        </w:rPr>
        <w:t>: IMPORTANT DATES</w:t>
      </w:r>
    </w:p>
    <w:p w14:paraId="3BA813CC" w14:textId="77777777" w:rsidR="00CF3266" w:rsidRDefault="00CF3266" w:rsidP="00CF3266">
      <w:pPr>
        <w:tabs>
          <w:tab w:val="left" w:pos="922"/>
        </w:tabs>
        <w:spacing w:line="240" w:lineRule="auto"/>
        <w:contextualSpacing/>
        <w:rPr>
          <w:rFonts w:cstheme="minorHAnsi"/>
          <w:sz w:val="24"/>
          <w:szCs w:val="24"/>
          <w:shd w:val="clear" w:color="auto" w:fill="FFFFFF"/>
        </w:rPr>
      </w:pPr>
    </w:p>
    <w:tbl>
      <w:tblPr>
        <w:tblStyle w:val="TableGrid"/>
        <w:tblW w:w="0" w:type="auto"/>
        <w:tblLook w:val="04A0" w:firstRow="1" w:lastRow="0" w:firstColumn="1" w:lastColumn="0" w:noHBand="0" w:noVBand="1"/>
      </w:tblPr>
      <w:tblGrid>
        <w:gridCol w:w="2515"/>
        <w:gridCol w:w="6835"/>
      </w:tblGrid>
      <w:tr w:rsidR="00CF3266" w14:paraId="2CC6C208" w14:textId="77777777" w:rsidTr="00921ADC">
        <w:tc>
          <w:tcPr>
            <w:tcW w:w="2515" w:type="dxa"/>
          </w:tcPr>
          <w:p w14:paraId="3A0C58DE" w14:textId="77777777" w:rsidR="00CF3266" w:rsidRDefault="00CF3266" w:rsidP="00921ADC">
            <w:pPr>
              <w:contextualSpacing/>
              <w:rPr>
                <w:rFonts w:cstheme="minorHAnsi"/>
                <w:sz w:val="24"/>
                <w:szCs w:val="24"/>
              </w:rPr>
            </w:pPr>
            <w:bookmarkStart w:id="2" w:name="_Hlk11327056"/>
            <w:r w:rsidRPr="00871185">
              <w:rPr>
                <w:rFonts w:cstheme="minorHAnsi"/>
                <w:b/>
                <w:sz w:val="24"/>
                <w:szCs w:val="24"/>
              </w:rPr>
              <w:t>August 1</w:t>
            </w:r>
            <w:r>
              <w:rPr>
                <w:rFonts w:cstheme="minorHAnsi"/>
                <w:b/>
                <w:sz w:val="24"/>
                <w:szCs w:val="24"/>
              </w:rPr>
              <w:t>9, 2019</w:t>
            </w:r>
          </w:p>
        </w:tc>
        <w:tc>
          <w:tcPr>
            <w:tcW w:w="6835" w:type="dxa"/>
          </w:tcPr>
          <w:p w14:paraId="06BA1BBC" w14:textId="77777777" w:rsidR="00CF3266" w:rsidRDefault="00CF3266" w:rsidP="00921ADC">
            <w:pPr>
              <w:contextualSpacing/>
              <w:rPr>
                <w:rFonts w:cstheme="minorHAnsi"/>
                <w:sz w:val="24"/>
                <w:szCs w:val="24"/>
              </w:rPr>
            </w:pPr>
            <w:r>
              <w:rPr>
                <w:rFonts w:cstheme="minorHAnsi"/>
                <w:sz w:val="24"/>
                <w:szCs w:val="24"/>
              </w:rPr>
              <w:t xml:space="preserve">Applications open on </w:t>
            </w:r>
            <w:hyperlink r:id="rId8" w:history="1">
              <w:r w:rsidRPr="002A254B">
                <w:rPr>
                  <w:rFonts w:cstheme="minorHAnsi"/>
                  <w:sz w:val="24"/>
                  <w:szCs w:val="24"/>
                </w:rPr>
                <w:t>https://www.tgh.org/careers</w:t>
              </w:r>
            </w:hyperlink>
            <w:r w:rsidRPr="002A254B">
              <w:rPr>
                <w:rFonts w:cstheme="minorHAnsi"/>
                <w:sz w:val="24"/>
                <w:szCs w:val="24"/>
              </w:rPr>
              <w:t xml:space="preserve"> </w:t>
            </w:r>
            <w:r>
              <w:rPr>
                <w:rFonts w:cstheme="minorHAnsi"/>
                <w:sz w:val="24"/>
                <w:szCs w:val="24"/>
              </w:rPr>
              <w:t xml:space="preserve">and information made available online for </w:t>
            </w:r>
            <w:proofErr w:type="gramStart"/>
            <w:r>
              <w:rPr>
                <w:rFonts w:cstheme="minorHAnsi"/>
                <w:sz w:val="24"/>
                <w:szCs w:val="24"/>
              </w:rPr>
              <w:t>Master’s</w:t>
            </w:r>
            <w:proofErr w:type="gramEnd"/>
            <w:r>
              <w:rPr>
                <w:rFonts w:cstheme="minorHAnsi"/>
                <w:sz w:val="24"/>
                <w:szCs w:val="24"/>
              </w:rPr>
              <w:t xml:space="preserve"> students expressing interest</w:t>
            </w:r>
          </w:p>
        </w:tc>
      </w:tr>
      <w:tr w:rsidR="00CF3266" w14:paraId="1367D995" w14:textId="77777777" w:rsidTr="00921ADC">
        <w:tc>
          <w:tcPr>
            <w:tcW w:w="2515" w:type="dxa"/>
          </w:tcPr>
          <w:p w14:paraId="600E725D" w14:textId="77777777" w:rsidR="00CF3266" w:rsidRDefault="00CF3266" w:rsidP="00921ADC">
            <w:pPr>
              <w:contextualSpacing/>
              <w:rPr>
                <w:rFonts w:cstheme="minorHAnsi"/>
                <w:sz w:val="24"/>
                <w:szCs w:val="24"/>
              </w:rPr>
            </w:pPr>
            <w:r>
              <w:rPr>
                <w:rFonts w:cstheme="minorHAnsi"/>
                <w:b/>
                <w:sz w:val="24"/>
                <w:szCs w:val="24"/>
              </w:rPr>
              <w:t>September 30, 2019</w:t>
            </w:r>
          </w:p>
        </w:tc>
        <w:tc>
          <w:tcPr>
            <w:tcW w:w="6835" w:type="dxa"/>
          </w:tcPr>
          <w:p w14:paraId="2546423D" w14:textId="77777777" w:rsidR="00CF3266" w:rsidRDefault="00CF3266" w:rsidP="00921ADC">
            <w:pPr>
              <w:contextualSpacing/>
              <w:rPr>
                <w:rFonts w:cstheme="minorHAnsi"/>
                <w:sz w:val="24"/>
                <w:szCs w:val="24"/>
              </w:rPr>
            </w:pPr>
            <w:r>
              <w:rPr>
                <w:rFonts w:cstheme="minorHAnsi"/>
                <w:sz w:val="24"/>
                <w:szCs w:val="24"/>
              </w:rPr>
              <w:t>Applications close at 11:59 PM EST</w:t>
            </w:r>
          </w:p>
        </w:tc>
      </w:tr>
      <w:tr w:rsidR="00CF3266" w14:paraId="1DEDE148" w14:textId="77777777" w:rsidTr="00921ADC">
        <w:tc>
          <w:tcPr>
            <w:tcW w:w="2515" w:type="dxa"/>
          </w:tcPr>
          <w:p w14:paraId="1212DE2E" w14:textId="77777777" w:rsidR="00CF3266" w:rsidRDefault="00CF3266" w:rsidP="00921ADC">
            <w:pPr>
              <w:contextualSpacing/>
              <w:rPr>
                <w:rFonts w:cstheme="minorHAnsi"/>
                <w:sz w:val="24"/>
                <w:szCs w:val="24"/>
              </w:rPr>
            </w:pPr>
            <w:r>
              <w:rPr>
                <w:rFonts w:cstheme="minorHAnsi"/>
                <w:b/>
                <w:sz w:val="24"/>
                <w:szCs w:val="24"/>
              </w:rPr>
              <w:t>October 1-31, 2019</w:t>
            </w:r>
          </w:p>
        </w:tc>
        <w:tc>
          <w:tcPr>
            <w:tcW w:w="6835" w:type="dxa"/>
          </w:tcPr>
          <w:p w14:paraId="78E25543" w14:textId="77777777" w:rsidR="00CF3266" w:rsidRDefault="00CF3266" w:rsidP="00921ADC">
            <w:pPr>
              <w:contextualSpacing/>
              <w:rPr>
                <w:rFonts w:cstheme="minorHAnsi"/>
                <w:sz w:val="24"/>
                <w:szCs w:val="24"/>
              </w:rPr>
            </w:pPr>
            <w:r>
              <w:rPr>
                <w:rFonts w:cstheme="minorHAnsi"/>
                <w:sz w:val="24"/>
                <w:szCs w:val="24"/>
              </w:rPr>
              <w:t>Review of Applications and On-Sites</w:t>
            </w:r>
          </w:p>
        </w:tc>
      </w:tr>
      <w:tr w:rsidR="00CF3266" w14:paraId="0C1E5552" w14:textId="77777777" w:rsidTr="00921ADC">
        <w:tc>
          <w:tcPr>
            <w:tcW w:w="2515" w:type="dxa"/>
          </w:tcPr>
          <w:p w14:paraId="49E83709" w14:textId="77777777" w:rsidR="00CF3266" w:rsidRDefault="00CF3266" w:rsidP="00921ADC">
            <w:pPr>
              <w:contextualSpacing/>
              <w:rPr>
                <w:rFonts w:cstheme="minorHAnsi"/>
                <w:sz w:val="24"/>
                <w:szCs w:val="24"/>
              </w:rPr>
            </w:pPr>
            <w:r>
              <w:rPr>
                <w:rFonts w:cstheme="minorHAnsi"/>
                <w:b/>
                <w:sz w:val="24"/>
                <w:szCs w:val="24"/>
              </w:rPr>
              <w:t>November 11, 2019</w:t>
            </w:r>
          </w:p>
        </w:tc>
        <w:tc>
          <w:tcPr>
            <w:tcW w:w="6835" w:type="dxa"/>
          </w:tcPr>
          <w:p w14:paraId="6C9430BB" w14:textId="77777777" w:rsidR="00CF3266" w:rsidRDefault="00CF3266" w:rsidP="00921ADC">
            <w:pPr>
              <w:contextualSpacing/>
              <w:rPr>
                <w:rFonts w:cstheme="minorHAnsi"/>
                <w:sz w:val="24"/>
                <w:szCs w:val="24"/>
              </w:rPr>
            </w:pPr>
            <w:r>
              <w:rPr>
                <w:rFonts w:cstheme="minorHAnsi"/>
                <w:sz w:val="24"/>
                <w:szCs w:val="24"/>
              </w:rPr>
              <w:t>Offer Date</w:t>
            </w:r>
          </w:p>
        </w:tc>
      </w:tr>
      <w:tr w:rsidR="00CF3266" w14:paraId="2B9F135E" w14:textId="77777777" w:rsidTr="00921ADC">
        <w:tc>
          <w:tcPr>
            <w:tcW w:w="2515" w:type="dxa"/>
          </w:tcPr>
          <w:p w14:paraId="02BBE71C" w14:textId="77777777" w:rsidR="00CF3266" w:rsidRDefault="00CF3266" w:rsidP="00921ADC">
            <w:pPr>
              <w:contextualSpacing/>
              <w:rPr>
                <w:rFonts w:cstheme="minorHAnsi"/>
                <w:b/>
                <w:sz w:val="24"/>
                <w:szCs w:val="24"/>
              </w:rPr>
            </w:pPr>
            <w:r>
              <w:rPr>
                <w:rFonts w:cstheme="minorHAnsi"/>
                <w:b/>
                <w:sz w:val="24"/>
                <w:szCs w:val="24"/>
              </w:rPr>
              <w:t>November 15, 2019</w:t>
            </w:r>
          </w:p>
        </w:tc>
        <w:tc>
          <w:tcPr>
            <w:tcW w:w="6835" w:type="dxa"/>
          </w:tcPr>
          <w:p w14:paraId="7D9DD91C" w14:textId="77777777" w:rsidR="00CF3266" w:rsidRDefault="00CF3266" w:rsidP="00921ADC">
            <w:pPr>
              <w:contextualSpacing/>
              <w:rPr>
                <w:rFonts w:cstheme="minorHAnsi"/>
                <w:sz w:val="24"/>
                <w:szCs w:val="24"/>
              </w:rPr>
            </w:pPr>
            <w:r>
              <w:rPr>
                <w:rFonts w:cstheme="minorHAnsi"/>
                <w:sz w:val="24"/>
                <w:szCs w:val="24"/>
              </w:rPr>
              <w:t>Deadline to Accept Offer—5:00 PM EST</w:t>
            </w:r>
          </w:p>
        </w:tc>
      </w:tr>
      <w:bookmarkEnd w:id="2"/>
    </w:tbl>
    <w:p w14:paraId="10B6C1DC"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4E37DE0D" w14:textId="77777777" w:rsidR="00CF3266" w:rsidRPr="00717A53" w:rsidRDefault="00CF3266" w:rsidP="00CF3266">
      <w:pPr>
        <w:tabs>
          <w:tab w:val="left" w:pos="922"/>
        </w:tabs>
        <w:spacing w:line="240" w:lineRule="auto"/>
        <w:contextualSpacing/>
        <w:rPr>
          <w:rFonts w:cstheme="minorHAnsi"/>
          <w:sz w:val="24"/>
          <w:szCs w:val="24"/>
          <w:shd w:val="clear" w:color="auto" w:fill="FFFFFF"/>
        </w:rPr>
      </w:pPr>
    </w:p>
    <w:p w14:paraId="27A20641" w14:textId="77777777" w:rsidR="00211228" w:rsidRDefault="00211228"/>
    <w:sectPr w:rsidR="00211228" w:rsidSect="00390115">
      <w:footerReference w:type="defaul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6032" w14:textId="77777777" w:rsidR="00390115" w:rsidRPr="00390115" w:rsidRDefault="00C40746" w:rsidP="00390115">
    <w:pPr>
      <w:pStyle w:val="Footer"/>
      <w:jc w:val="center"/>
    </w:pPr>
    <w:r w:rsidRPr="00390115">
      <w:rPr>
        <w:rFonts w:cstheme="minorHAnsi"/>
        <w:sz w:val="24"/>
        <w:szCs w:val="24"/>
        <w:shd w:val="clear" w:color="auto" w:fill="FFFFFF"/>
      </w:rPr>
      <w:t>If you should have any other questions, please contact TGHadminfellow@tgh.org</w:t>
    </w:r>
  </w:p>
  <w:p w14:paraId="38D315B0" w14:textId="77777777" w:rsidR="0067414F" w:rsidRPr="00390115" w:rsidRDefault="00C407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9D0BC" w14:textId="77777777" w:rsidR="006757C0" w:rsidRPr="006757C0" w:rsidRDefault="00C40746" w:rsidP="006757C0">
    <w:pPr>
      <w:pStyle w:val="Footer"/>
      <w:jc w:val="right"/>
      <w:rPr>
        <w:sz w:val="24"/>
      </w:rPr>
    </w:pPr>
    <w:r>
      <w:t>1</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344B8"/>
    <w:multiLevelType w:val="hybridMultilevel"/>
    <w:tmpl w:val="15BAE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10862"/>
    <w:multiLevelType w:val="hybridMultilevel"/>
    <w:tmpl w:val="A41AF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182110"/>
    <w:multiLevelType w:val="hybridMultilevel"/>
    <w:tmpl w:val="0FE4E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266"/>
    <w:rsid w:val="00211228"/>
    <w:rsid w:val="0052758B"/>
    <w:rsid w:val="0057591C"/>
    <w:rsid w:val="00C40746"/>
    <w:rsid w:val="00CF3266"/>
    <w:rsid w:val="00F9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1081F"/>
  <w15:chartTrackingRefBased/>
  <w15:docId w15:val="{8A94E5A5-9A42-4DFE-92CA-7660BAD95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266"/>
    <w:pPr>
      <w:ind w:left="720"/>
      <w:contextualSpacing/>
    </w:pPr>
  </w:style>
  <w:style w:type="paragraph" w:styleId="Footer">
    <w:name w:val="footer"/>
    <w:basedOn w:val="Normal"/>
    <w:link w:val="FooterChar"/>
    <w:uiPriority w:val="99"/>
    <w:unhideWhenUsed/>
    <w:rsid w:val="00CF3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266"/>
  </w:style>
  <w:style w:type="table" w:styleId="TableGrid">
    <w:name w:val="Table Grid"/>
    <w:basedOn w:val="TableNormal"/>
    <w:uiPriority w:val="39"/>
    <w:rsid w:val="00CF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h.org/careers" TargetMode="External"/><Relationship Id="rId3" Type="http://schemas.openxmlformats.org/officeDocument/2006/relationships/settings" Target="settings.xml"/><Relationship Id="rId7" Type="http://schemas.openxmlformats.org/officeDocument/2006/relationships/hyperlink" Target="https://www.tgh.org/care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gh.org/career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Ashman, Jennifer</dc:creator>
  <cp:keywords/>
  <dc:description/>
  <cp:lastModifiedBy>Ashman, Jennifer</cp:lastModifiedBy>
  <cp:revision>5</cp:revision>
  <dcterms:created xsi:type="dcterms:W3CDTF">2019-07-01T19:43:00Z</dcterms:created>
  <dcterms:modified xsi:type="dcterms:W3CDTF">2019-07-01T19:55:00Z</dcterms:modified>
</cp:coreProperties>
</file>